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879"/>
        <w:gridCol w:w="880"/>
        <w:gridCol w:w="872"/>
        <w:gridCol w:w="872"/>
        <w:gridCol w:w="1224"/>
        <w:gridCol w:w="711"/>
        <w:gridCol w:w="872"/>
        <w:gridCol w:w="803"/>
        <w:gridCol w:w="803"/>
        <w:gridCol w:w="819"/>
        <w:gridCol w:w="1076"/>
        <w:gridCol w:w="819"/>
        <w:gridCol w:w="748"/>
        <w:gridCol w:w="108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425" w:type="dxa"/>
            <w:gridSpan w:val="16"/>
            <w:tcBorders>
              <w:top w:val="nil"/>
              <w:left w:val="nil"/>
              <w:bottom w:val="nil"/>
              <w:right w:val="nil"/>
            </w:tcBorders>
            <w:shd w:val="clear" w:color="auto" w:fill="auto"/>
            <w:noWrap w:val="0"/>
            <w:vAlign w:val="top"/>
          </w:tcPr>
          <w:p>
            <w:pPr>
              <w:adjustRightInd w:val="0"/>
              <w:snapToGrid w:val="0"/>
              <w:jc w:val="left"/>
              <w:rPr>
                <w:rFonts w:ascii="黑体" w:hAnsi="黑体" w:eastAsia="黑体"/>
                <w:sz w:val="32"/>
                <w:szCs w:val="18"/>
                <w:lang w:val="en"/>
              </w:rPr>
            </w:pPr>
            <w:r>
              <w:rPr>
                <w:rFonts w:hint="eastAsia" w:ascii="黑体" w:hAnsi="黑体" w:eastAsia="黑体" w:cs="方正黑体_GBK"/>
                <w:sz w:val="32"/>
                <w:szCs w:val="30"/>
              </w:rPr>
              <w:t>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425" w:type="dxa"/>
            <w:gridSpan w:val="16"/>
            <w:tcBorders>
              <w:top w:val="nil"/>
              <w:left w:val="nil"/>
              <w:bottom w:val="nil"/>
              <w:right w:val="nil"/>
            </w:tcBorders>
            <w:shd w:val="clear" w:color="auto" w:fill="auto"/>
            <w:noWrap w:val="0"/>
            <w:vAlign w:val="top"/>
          </w:tcPr>
          <w:p>
            <w:pPr>
              <w:spacing w:line="240" w:lineRule="exact"/>
              <w:jc w:val="center"/>
              <w:rPr>
                <w:rFonts w:hint="eastAsia" w:ascii="方正小标宋_GBK" w:hAnsi="方正小标宋_GBK" w:eastAsia="方正小标宋_GBK" w:cs="方正小标宋_GBK"/>
                <w:sz w:val="24"/>
              </w:rPr>
            </w:pPr>
          </w:p>
          <w:p>
            <w:pPr>
              <w:spacing w:line="560" w:lineRule="exact"/>
              <w:jc w:val="center"/>
              <w:rPr>
                <w:rFonts w:hint="eastAsia" w:ascii="方正小标宋简体" w:hAnsi="仿宋_GB2312" w:eastAsia="方正小标宋简体" w:cs="仿宋_GB2312"/>
                <w:sz w:val="36"/>
                <w:szCs w:val="36"/>
              </w:rPr>
            </w:pPr>
            <w:r>
              <w:rPr>
                <w:rFonts w:hint="eastAsia" w:ascii="方正小标宋简体" w:hAnsi="黑体" w:eastAsia="方正小标宋简体" w:cs="黑体"/>
                <w:sz w:val="36"/>
                <w:szCs w:val="36"/>
              </w:rPr>
              <w:t>XXX年湖北省民族贸易和民族特需商品生</w:t>
            </w:r>
            <w:bookmarkStart w:id="0" w:name="_GoBack"/>
            <w:bookmarkEnd w:id="0"/>
            <w:r>
              <w:rPr>
                <w:rFonts w:hint="eastAsia" w:ascii="方正小标宋简体" w:hAnsi="黑体" w:eastAsia="方正小标宋简体" w:cs="黑体"/>
                <w:sz w:val="36"/>
                <w:szCs w:val="36"/>
              </w:rPr>
              <w:t>产贷款贴息相关数据统计表</w:t>
            </w:r>
          </w:p>
          <w:p>
            <w:pPr>
              <w:spacing w:line="240" w:lineRule="exact"/>
              <w:jc w:val="right"/>
              <w:rPr>
                <w:rFonts w:hint="eastAsia" w:ascii="方正小标宋_GBK" w:hAnsi="方正小标宋_GBK" w:eastAsia="方正小标宋_GBK" w:cs="方正小标宋_GBK"/>
                <w:sz w:val="24"/>
              </w:rPr>
            </w:pPr>
            <w:r>
              <w:rPr>
                <w:rFonts w:hint="eastAsia" w:ascii="方正仿宋_GBK" w:hAnsi="方正仿宋_GBK" w:eastAsia="方正仿宋_GBK" w:cs="方正仿宋_GBK"/>
                <w:szCs w:val="21"/>
              </w:rPr>
              <w:t>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29" w:type="dxa"/>
            <w:vMerge w:val="restart"/>
            <w:tcBorders>
              <w:top w:val="single" w:color="000000" w:sz="4" w:space="0"/>
              <w:bottom w:val="nil"/>
            </w:tcBorders>
            <w:shd w:val="clear" w:color="auto" w:fill="auto"/>
            <w:noWrap w:val="0"/>
            <w:vAlign w:val="center"/>
          </w:tcPr>
          <w:p>
            <w:pPr>
              <w:snapToGrid w:val="0"/>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地区</w:t>
            </w:r>
          </w:p>
          <w:p>
            <w:pPr>
              <w:snapToGrid w:val="0"/>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情况</w:t>
            </w:r>
          </w:p>
        </w:tc>
        <w:tc>
          <w:tcPr>
            <w:tcW w:w="1759" w:type="dxa"/>
            <w:gridSpan w:val="2"/>
            <w:tcBorders>
              <w:top w:val="single" w:color="000000" w:sz="4" w:space="0"/>
              <w:bottom w:val="single" w:color="000000" w:sz="4" w:space="0"/>
            </w:tcBorders>
            <w:shd w:val="clear" w:color="auto" w:fill="auto"/>
            <w:noWrap w:val="0"/>
            <w:vAlign w:val="center"/>
          </w:tcPr>
          <w:p>
            <w:pPr>
              <w:spacing w:line="24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一、享受贴息的民贸民品企业数量</w:t>
            </w:r>
          </w:p>
        </w:tc>
        <w:tc>
          <w:tcPr>
            <w:tcW w:w="1744" w:type="dxa"/>
            <w:gridSpan w:val="2"/>
            <w:tcBorders>
              <w:top w:val="single" w:color="000000" w:sz="4" w:space="0"/>
              <w:bottom w:val="single" w:color="000000" w:sz="4" w:space="0"/>
            </w:tcBorders>
            <w:shd w:val="clear" w:color="auto" w:fill="auto"/>
            <w:noWrap w:val="0"/>
            <w:vAlign w:val="center"/>
          </w:tcPr>
          <w:p>
            <w:pPr>
              <w:spacing w:line="24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二、享受贴息的民贸民品贷款全年平均规模</w:t>
            </w:r>
          </w:p>
        </w:tc>
        <w:tc>
          <w:tcPr>
            <w:tcW w:w="4413" w:type="dxa"/>
            <w:gridSpan w:val="5"/>
            <w:tcBorders>
              <w:top w:val="single" w:color="000000" w:sz="4" w:space="0"/>
              <w:bottom w:val="single" w:color="000000" w:sz="4" w:space="0"/>
            </w:tcBorders>
            <w:shd w:val="clear" w:color="auto" w:fill="auto"/>
            <w:noWrap w:val="0"/>
            <w:vAlign w:val="center"/>
          </w:tcPr>
          <w:p>
            <w:pPr>
              <w:spacing w:line="24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三、民贸民品企业贷款贴息支出</w:t>
            </w:r>
          </w:p>
        </w:tc>
        <w:tc>
          <w:tcPr>
            <w:tcW w:w="5680" w:type="dxa"/>
            <w:gridSpan w:val="6"/>
            <w:tcBorders>
              <w:top w:val="single" w:color="000000" w:sz="4" w:space="0"/>
              <w:bottom w:val="single" w:color="000000" w:sz="4" w:space="0"/>
            </w:tcBorders>
            <w:shd w:val="clear" w:color="auto" w:fill="auto"/>
            <w:noWrap w:val="0"/>
            <w:vAlign w:val="center"/>
          </w:tcPr>
          <w:p>
            <w:pPr>
              <w:tabs>
                <w:tab w:val="left" w:pos="1172"/>
              </w:tabs>
              <w:spacing w:line="240" w:lineRule="exact"/>
              <w:ind w:firstLine="360" w:firstLineChars="200"/>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四、中央对地方民贸民品贷款贴息引导支持资金执行情况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29" w:type="dxa"/>
            <w:vMerge w:val="continue"/>
            <w:tcBorders>
              <w:top w:val="nil"/>
              <w:bottom w:val="nil"/>
            </w:tcBorders>
            <w:shd w:val="clear" w:color="auto" w:fill="auto"/>
            <w:noWrap w:val="0"/>
            <w:vAlign w:val="top"/>
          </w:tcPr>
          <w:p>
            <w:pPr>
              <w:jc w:val="center"/>
              <w:rPr>
                <w:rFonts w:hint="eastAsia" w:ascii="楷体_GB2312" w:hAnsi="楷体_GB2312" w:eastAsia="楷体_GB2312" w:cs="楷体_GB2312"/>
                <w:sz w:val="18"/>
                <w:szCs w:val="18"/>
              </w:rPr>
            </w:pPr>
          </w:p>
        </w:tc>
        <w:tc>
          <w:tcPr>
            <w:tcW w:w="879"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XXX年享受贴息的民贸企业数量（个）</w:t>
            </w:r>
          </w:p>
        </w:tc>
        <w:tc>
          <w:tcPr>
            <w:tcW w:w="880"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XXX年享受贴息的民品企业数量（个）</w:t>
            </w:r>
          </w:p>
        </w:tc>
        <w:tc>
          <w:tcPr>
            <w:tcW w:w="872"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XXX年民贸企业享受贴息的贷款全年平均规模</w:t>
            </w:r>
          </w:p>
        </w:tc>
        <w:tc>
          <w:tcPr>
            <w:tcW w:w="872"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XXX年民品企业享受贴息的贷款全年平均规模</w:t>
            </w:r>
          </w:p>
        </w:tc>
        <w:tc>
          <w:tcPr>
            <w:tcW w:w="1224"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XXX年贴息</w:t>
            </w:r>
          </w:p>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支出小计</w:t>
            </w:r>
          </w:p>
        </w:tc>
        <w:tc>
          <w:tcPr>
            <w:tcW w:w="1583" w:type="dxa"/>
            <w:gridSpan w:val="2"/>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其中：</w:t>
            </w:r>
          </w:p>
        </w:tc>
        <w:tc>
          <w:tcPr>
            <w:tcW w:w="803"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XXX年民贸企业贷款贴息金额</w:t>
            </w:r>
          </w:p>
        </w:tc>
        <w:tc>
          <w:tcPr>
            <w:tcW w:w="803"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XXX年民品企业贷款贴息金额</w:t>
            </w:r>
          </w:p>
        </w:tc>
        <w:tc>
          <w:tcPr>
            <w:tcW w:w="819"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XXX年预算数</w:t>
            </w:r>
          </w:p>
        </w:tc>
        <w:tc>
          <w:tcPr>
            <w:tcW w:w="1076"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XXX年执行数</w:t>
            </w:r>
          </w:p>
        </w:tc>
        <w:tc>
          <w:tcPr>
            <w:tcW w:w="1567" w:type="dxa"/>
            <w:gridSpan w:val="2"/>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其中：</w:t>
            </w:r>
          </w:p>
        </w:tc>
        <w:tc>
          <w:tcPr>
            <w:tcW w:w="1084"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预算数-执行数</w:t>
            </w:r>
          </w:p>
        </w:tc>
        <w:tc>
          <w:tcPr>
            <w:tcW w:w="1134" w:type="dxa"/>
            <w:vMerge w:val="restart"/>
            <w:tcBorders>
              <w:top w:val="single" w:color="000000" w:sz="4" w:space="0"/>
              <w:bottom w:val="single" w:color="000000" w:sz="4" w:space="0"/>
            </w:tcBorders>
            <w:shd w:val="clear" w:color="auto" w:fill="auto"/>
            <w:noWrap w:val="0"/>
            <w:vAlign w:val="center"/>
          </w:tcPr>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备注：</w:t>
            </w:r>
          </w:p>
          <w:p>
            <w:pPr>
              <w:spacing w:line="26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（第7列≠第12列、第13列≠0、第14列≠0的地区需说明原因）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829" w:type="dxa"/>
            <w:vMerge w:val="continue"/>
            <w:tcBorders>
              <w:top w:val="nil"/>
            </w:tcBorders>
            <w:shd w:val="clear" w:color="auto" w:fill="auto"/>
            <w:noWrap w:val="0"/>
            <w:vAlign w:val="top"/>
          </w:tcPr>
          <w:p>
            <w:pPr>
              <w:jc w:val="center"/>
              <w:rPr>
                <w:rFonts w:hint="eastAsia" w:ascii="楷体_GB2312" w:hAnsi="楷体_GB2312" w:eastAsia="楷体_GB2312" w:cs="楷体_GB2312"/>
                <w:sz w:val="18"/>
                <w:szCs w:val="18"/>
              </w:rPr>
            </w:pPr>
          </w:p>
        </w:tc>
        <w:tc>
          <w:tcPr>
            <w:tcW w:w="879"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880"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872"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872"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1224"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711" w:type="dxa"/>
            <w:tcBorders>
              <w:top w:val="single" w:color="000000" w:sz="4" w:space="0"/>
            </w:tcBorders>
            <w:shd w:val="clear" w:color="auto" w:fill="auto"/>
            <w:noWrap w:val="0"/>
            <w:vAlign w:val="center"/>
          </w:tcPr>
          <w:p>
            <w:pPr>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统筹地方财力</w:t>
            </w:r>
          </w:p>
        </w:tc>
        <w:tc>
          <w:tcPr>
            <w:tcW w:w="872" w:type="dxa"/>
            <w:tcBorders>
              <w:top w:val="single" w:color="000000" w:sz="4" w:space="0"/>
            </w:tcBorders>
            <w:shd w:val="clear" w:color="auto" w:fill="auto"/>
            <w:noWrap w:val="0"/>
            <w:vAlign w:val="center"/>
          </w:tcPr>
          <w:p>
            <w:pPr>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使用中央引导资金</w:t>
            </w:r>
          </w:p>
        </w:tc>
        <w:tc>
          <w:tcPr>
            <w:tcW w:w="803"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803"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819"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1076"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819" w:type="dxa"/>
            <w:tcBorders>
              <w:top w:val="single" w:color="000000" w:sz="4" w:space="0"/>
            </w:tcBorders>
            <w:shd w:val="clear" w:color="auto" w:fill="auto"/>
            <w:noWrap w:val="0"/>
            <w:vAlign w:val="center"/>
          </w:tcPr>
          <w:p>
            <w:pPr>
              <w:spacing w:line="28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其中：用于民贸民品贷款贴息</w:t>
            </w:r>
          </w:p>
        </w:tc>
        <w:tc>
          <w:tcPr>
            <w:tcW w:w="748" w:type="dxa"/>
            <w:tcBorders>
              <w:top w:val="single" w:color="000000" w:sz="4" w:space="0"/>
            </w:tcBorders>
            <w:shd w:val="clear" w:color="auto" w:fill="auto"/>
            <w:noWrap w:val="0"/>
            <w:vAlign w:val="center"/>
          </w:tcPr>
          <w:p>
            <w:pPr>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用于其他支出</w:t>
            </w:r>
          </w:p>
        </w:tc>
        <w:tc>
          <w:tcPr>
            <w:tcW w:w="1084"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c>
          <w:tcPr>
            <w:tcW w:w="1134" w:type="dxa"/>
            <w:vMerge w:val="continue"/>
            <w:tcBorders>
              <w:top w:val="single" w:color="000000" w:sz="4" w:space="0"/>
            </w:tcBorders>
            <w:shd w:val="clear" w:color="auto" w:fill="auto"/>
            <w:noWrap w:val="0"/>
            <w:vAlign w:val="top"/>
          </w:tcPr>
          <w:p>
            <w:pPr>
              <w:jc w:val="center"/>
              <w:rPr>
                <w:rFonts w:hint="eastAsia" w:ascii="楷体_GB2312" w:hAnsi="楷体_GB2312" w:eastAsia="楷体_GB2312" w:cs="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9" w:type="dxa"/>
            <w:shd w:val="clear" w:color="auto" w:fill="auto"/>
            <w:noWrap w:val="0"/>
            <w:vAlign w:val="center"/>
          </w:tcPr>
          <w:p>
            <w:pPr>
              <w:spacing w:line="24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行号</w:t>
            </w:r>
          </w:p>
        </w:tc>
        <w:tc>
          <w:tcPr>
            <w:tcW w:w="879"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1</w:t>
            </w:r>
          </w:p>
        </w:tc>
        <w:tc>
          <w:tcPr>
            <w:tcW w:w="880"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2</w:t>
            </w:r>
          </w:p>
        </w:tc>
        <w:tc>
          <w:tcPr>
            <w:tcW w:w="872"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3</w:t>
            </w:r>
          </w:p>
        </w:tc>
        <w:tc>
          <w:tcPr>
            <w:tcW w:w="872"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4</w:t>
            </w:r>
          </w:p>
        </w:tc>
        <w:tc>
          <w:tcPr>
            <w:tcW w:w="1224"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5=6+7=8+9</w:t>
            </w:r>
          </w:p>
        </w:tc>
        <w:tc>
          <w:tcPr>
            <w:tcW w:w="711"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6</w:t>
            </w:r>
          </w:p>
        </w:tc>
        <w:tc>
          <w:tcPr>
            <w:tcW w:w="872"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7</w:t>
            </w:r>
          </w:p>
        </w:tc>
        <w:tc>
          <w:tcPr>
            <w:tcW w:w="803"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8</w:t>
            </w:r>
          </w:p>
        </w:tc>
        <w:tc>
          <w:tcPr>
            <w:tcW w:w="803"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9</w:t>
            </w:r>
          </w:p>
        </w:tc>
        <w:tc>
          <w:tcPr>
            <w:tcW w:w="819"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10</w:t>
            </w:r>
          </w:p>
        </w:tc>
        <w:tc>
          <w:tcPr>
            <w:tcW w:w="1076"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11=12+13</w:t>
            </w:r>
          </w:p>
        </w:tc>
        <w:tc>
          <w:tcPr>
            <w:tcW w:w="819"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12</w:t>
            </w:r>
          </w:p>
        </w:tc>
        <w:tc>
          <w:tcPr>
            <w:tcW w:w="748"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13</w:t>
            </w:r>
          </w:p>
        </w:tc>
        <w:tc>
          <w:tcPr>
            <w:tcW w:w="1084"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14=10-11</w:t>
            </w:r>
          </w:p>
        </w:tc>
        <w:tc>
          <w:tcPr>
            <w:tcW w:w="1134" w:type="dxa"/>
            <w:shd w:val="clear" w:color="auto" w:fill="auto"/>
            <w:noWrap w:val="0"/>
            <w:vAlign w:val="center"/>
          </w:tcPr>
          <w:p>
            <w:pPr>
              <w:widowControl/>
              <w:spacing w:line="280" w:lineRule="exact"/>
              <w:jc w:val="center"/>
              <w:textAlignment w:val="center"/>
              <w:rPr>
                <w:rFonts w:hint="eastAsia" w:ascii="楷体_GB2312" w:hAnsi="楷体_GB2312" w:eastAsia="楷体_GB2312" w:cs="楷体_GB2312"/>
                <w:szCs w:val="21"/>
              </w:rPr>
            </w:pPr>
            <w:r>
              <w:rPr>
                <w:rFonts w:hint="eastAsia" w:ascii="楷体_GB2312" w:hAnsi="楷体_GB2312" w:eastAsia="楷体_GB2312" w:cs="楷体_GB2312"/>
                <w:color w:val="000000"/>
                <w:kern w:val="0"/>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9" w:type="dxa"/>
            <w:shd w:val="clear" w:color="auto" w:fill="auto"/>
            <w:noWrap w:val="0"/>
            <w:vAlign w:val="center"/>
          </w:tcPr>
          <w:p>
            <w:pPr>
              <w:spacing w:line="22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XX省</w:t>
            </w:r>
          </w:p>
          <w:p>
            <w:pPr>
              <w:spacing w:line="220" w:lineRule="exact"/>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合计</w:t>
            </w:r>
          </w:p>
        </w:tc>
        <w:tc>
          <w:tcPr>
            <w:tcW w:w="879" w:type="dxa"/>
            <w:shd w:val="clear" w:color="auto" w:fill="auto"/>
            <w:noWrap w:val="0"/>
            <w:vAlign w:val="top"/>
          </w:tcPr>
          <w:p>
            <w:pPr>
              <w:jc w:val="center"/>
              <w:rPr>
                <w:rFonts w:hint="eastAsia" w:ascii="楷体_GB2312" w:hAnsi="楷体_GB2312" w:eastAsia="楷体_GB2312" w:cs="楷体_GB2312"/>
              </w:rPr>
            </w:pPr>
          </w:p>
        </w:tc>
        <w:tc>
          <w:tcPr>
            <w:tcW w:w="880" w:type="dxa"/>
            <w:shd w:val="clear" w:color="auto" w:fill="auto"/>
            <w:noWrap w:val="0"/>
            <w:vAlign w:val="top"/>
          </w:tcPr>
          <w:p>
            <w:pPr>
              <w:jc w:val="center"/>
              <w:rPr>
                <w:rFonts w:hint="eastAsia" w:ascii="楷体_GB2312" w:hAnsi="楷体_GB2312" w:eastAsia="楷体_GB2312" w:cs="楷体_GB2312"/>
              </w:rPr>
            </w:pPr>
          </w:p>
        </w:tc>
        <w:tc>
          <w:tcPr>
            <w:tcW w:w="872" w:type="dxa"/>
            <w:shd w:val="clear" w:color="auto" w:fill="auto"/>
            <w:noWrap w:val="0"/>
            <w:vAlign w:val="top"/>
          </w:tcPr>
          <w:p>
            <w:pPr>
              <w:jc w:val="center"/>
              <w:rPr>
                <w:rFonts w:hint="eastAsia" w:ascii="楷体_GB2312" w:hAnsi="楷体_GB2312" w:eastAsia="楷体_GB2312" w:cs="楷体_GB2312"/>
              </w:rPr>
            </w:pPr>
          </w:p>
        </w:tc>
        <w:tc>
          <w:tcPr>
            <w:tcW w:w="872" w:type="dxa"/>
            <w:shd w:val="clear" w:color="auto" w:fill="auto"/>
            <w:noWrap w:val="0"/>
            <w:vAlign w:val="top"/>
          </w:tcPr>
          <w:p>
            <w:pPr>
              <w:jc w:val="center"/>
              <w:rPr>
                <w:rFonts w:hint="eastAsia" w:ascii="楷体_GB2312" w:hAnsi="楷体_GB2312" w:eastAsia="楷体_GB2312" w:cs="楷体_GB2312"/>
              </w:rPr>
            </w:pPr>
          </w:p>
        </w:tc>
        <w:tc>
          <w:tcPr>
            <w:tcW w:w="1224" w:type="dxa"/>
            <w:shd w:val="clear" w:color="auto" w:fill="auto"/>
            <w:noWrap w:val="0"/>
            <w:vAlign w:val="top"/>
          </w:tcPr>
          <w:p>
            <w:pPr>
              <w:jc w:val="center"/>
              <w:rPr>
                <w:rFonts w:hint="eastAsia" w:ascii="楷体_GB2312" w:hAnsi="楷体_GB2312" w:eastAsia="楷体_GB2312" w:cs="楷体_GB2312"/>
                <w:szCs w:val="21"/>
              </w:rPr>
            </w:pPr>
          </w:p>
        </w:tc>
        <w:tc>
          <w:tcPr>
            <w:tcW w:w="711" w:type="dxa"/>
            <w:shd w:val="clear" w:color="auto" w:fill="auto"/>
            <w:noWrap w:val="0"/>
            <w:vAlign w:val="top"/>
          </w:tcPr>
          <w:p>
            <w:pPr>
              <w:jc w:val="center"/>
              <w:rPr>
                <w:rFonts w:hint="eastAsia" w:ascii="楷体_GB2312" w:hAnsi="楷体_GB2312" w:eastAsia="楷体_GB2312" w:cs="楷体_GB2312"/>
              </w:rPr>
            </w:pPr>
          </w:p>
        </w:tc>
        <w:tc>
          <w:tcPr>
            <w:tcW w:w="872" w:type="dxa"/>
            <w:shd w:val="clear" w:color="auto" w:fill="auto"/>
            <w:noWrap w:val="0"/>
            <w:vAlign w:val="top"/>
          </w:tcPr>
          <w:p>
            <w:pPr>
              <w:jc w:val="center"/>
              <w:rPr>
                <w:rFonts w:hint="eastAsia" w:ascii="楷体_GB2312" w:hAnsi="楷体_GB2312" w:eastAsia="楷体_GB2312" w:cs="楷体_GB2312"/>
              </w:rPr>
            </w:pPr>
          </w:p>
        </w:tc>
        <w:tc>
          <w:tcPr>
            <w:tcW w:w="803" w:type="dxa"/>
            <w:shd w:val="clear" w:color="auto" w:fill="auto"/>
            <w:noWrap w:val="0"/>
            <w:vAlign w:val="top"/>
          </w:tcPr>
          <w:p>
            <w:pPr>
              <w:jc w:val="center"/>
              <w:rPr>
                <w:rFonts w:hint="eastAsia" w:ascii="楷体_GB2312" w:hAnsi="楷体_GB2312" w:eastAsia="楷体_GB2312" w:cs="楷体_GB2312"/>
              </w:rPr>
            </w:pPr>
          </w:p>
        </w:tc>
        <w:tc>
          <w:tcPr>
            <w:tcW w:w="803" w:type="dxa"/>
            <w:shd w:val="clear" w:color="auto" w:fill="auto"/>
            <w:noWrap w:val="0"/>
            <w:vAlign w:val="top"/>
          </w:tcPr>
          <w:p>
            <w:pPr>
              <w:jc w:val="center"/>
              <w:rPr>
                <w:rFonts w:hint="eastAsia" w:ascii="楷体_GB2312" w:hAnsi="楷体_GB2312" w:eastAsia="楷体_GB2312" w:cs="楷体_GB2312"/>
              </w:rPr>
            </w:pPr>
          </w:p>
        </w:tc>
        <w:tc>
          <w:tcPr>
            <w:tcW w:w="819" w:type="dxa"/>
            <w:shd w:val="clear" w:color="auto" w:fill="auto"/>
            <w:noWrap w:val="0"/>
            <w:vAlign w:val="top"/>
          </w:tcPr>
          <w:p>
            <w:pPr>
              <w:jc w:val="center"/>
              <w:rPr>
                <w:rFonts w:hint="eastAsia" w:ascii="楷体_GB2312" w:hAnsi="楷体_GB2312" w:eastAsia="楷体_GB2312" w:cs="楷体_GB2312"/>
              </w:rPr>
            </w:pPr>
          </w:p>
        </w:tc>
        <w:tc>
          <w:tcPr>
            <w:tcW w:w="1076" w:type="dxa"/>
            <w:shd w:val="clear" w:color="auto" w:fill="auto"/>
            <w:noWrap w:val="0"/>
            <w:vAlign w:val="top"/>
          </w:tcPr>
          <w:p>
            <w:pPr>
              <w:jc w:val="center"/>
              <w:rPr>
                <w:rFonts w:hint="eastAsia" w:ascii="楷体_GB2312" w:hAnsi="楷体_GB2312" w:eastAsia="楷体_GB2312" w:cs="楷体_GB2312"/>
              </w:rPr>
            </w:pPr>
          </w:p>
        </w:tc>
        <w:tc>
          <w:tcPr>
            <w:tcW w:w="819" w:type="dxa"/>
            <w:shd w:val="clear" w:color="auto" w:fill="auto"/>
            <w:noWrap w:val="0"/>
            <w:vAlign w:val="top"/>
          </w:tcPr>
          <w:p>
            <w:pPr>
              <w:jc w:val="center"/>
              <w:rPr>
                <w:rFonts w:hint="eastAsia" w:ascii="楷体_GB2312" w:hAnsi="楷体_GB2312" w:eastAsia="楷体_GB2312" w:cs="楷体_GB2312"/>
              </w:rPr>
            </w:pPr>
          </w:p>
        </w:tc>
        <w:tc>
          <w:tcPr>
            <w:tcW w:w="748" w:type="dxa"/>
            <w:shd w:val="clear" w:color="auto" w:fill="auto"/>
            <w:noWrap w:val="0"/>
            <w:vAlign w:val="top"/>
          </w:tcPr>
          <w:p>
            <w:pPr>
              <w:jc w:val="center"/>
              <w:rPr>
                <w:rFonts w:hint="eastAsia" w:ascii="楷体_GB2312" w:hAnsi="楷体_GB2312" w:eastAsia="楷体_GB2312" w:cs="楷体_GB2312"/>
              </w:rPr>
            </w:pPr>
          </w:p>
        </w:tc>
        <w:tc>
          <w:tcPr>
            <w:tcW w:w="1084" w:type="dxa"/>
            <w:shd w:val="clear" w:color="auto" w:fill="auto"/>
            <w:noWrap w:val="0"/>
            <w:vAlign w:val="top"/>
          </w:tcPr>
          <w:p>
            <w:pPr>
              <w:jc w:val="center"/>
              <w:rPr>
                <w:rFonts w:hint="eastAsia" w:ascii="楷体_GB2312" w:hAnsi="楷体_GB2312" w:eastAsia="楷体_GB2312" w:cs="楷体_GB2312"/>
              </w:rPr>
            </w:pPr>
          </w:p>
        </w:tc>
        <w:tc>
          <w:tcPr>
            <w:tcW w:w="1134" w:type="dxa"/>
            <w:shd w:val="clear" w:color="auto" w:fill="auto"/>
            <w:noWrap w:val="0"/>
            <w:vAlign w:val="top"/>
          </w:tcPr>
          <w:p>
            <w:pPr>
              <w:jc w:val="center"/>
              <w:rPr>
                <w:rFonts w:hint="eastAsia" w:ascii="楷体_GB2312" w:hAnsi="楷体_GB2312" w:eastAsia="楷体_GB2312" w:cs="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14425" w:type="dxa"/>
            <w:gridSpan w:val="16"/>
            <w:shd w:val="clear" w:color="auto" w:fill="auto"/>
            <w:noWrap w:val="0"/>
            <w:vAlign w:val="top"/>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b/>
                <w:bCs/>
                <w:sz w:val="18"/>
                <w:szCs w:val="18"/>
              </w:rPr>
              <w:t>填报口径</w:t>
            </w:r>
            <w:r>
              <w:rPr>
                <w:rFonts w:hint="eastAsia" w:ascii="仿宋_GB2312" w:hAnsi="仿宋_GB2312" w:eastAsia="仿宋_GB2312" w:cs="仿宋_GB2312"/>
                <w:sz w:val="18"/>
                <w:szCs w:val="18"/>
              </w:rPr>
              <w:t>：</w:t>
            </w:r>
            <w:r>
              <w:rPr>
                <w:rFonts w:hint="eastAsia" w:ascii="仿宋_GB2312" w:hAnsi="仿宋_GB2312" w:eastAsia="仿宋_GB2312" w:cs="仿宋_GB2312"/>
                <w:b/>
                <w:bCs/>
                <w:sz w:val="18"/>
                <w:szCs w:val="18"/>
              </w:rPr>
              <w:t>（以2022年报送2021年数据为例）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4425" w:type="dxa"/>
            <w:gridSpan w:val="16"/>
            <w:shd w:val="clear" w:color="auto" w:fill="auto"/>
            <w:noWrap w:val="0"/>
            <w:vAlign w:val="center"/>
          </w:tcPr>
          <w:p>
            <w:pPr>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1.“一、享受贴息的民贸民品企业数量”应填列本地区2021年享受民贸民品贷款贴息的民贸民品企业数量。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425" w:type="dxa"/>
            <w:gridSpan w:val="16"/>
            <w:shd w:val="clear" w:color="auto" w:fill="auto"/>
            <w:noWrap w:val="0"/>
            <w:vAlign w:val="center"/>
          </w:tcPr>
          <w:p>
            <w:pPr>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二、享受贴息的民贸民品贷款全年平均规模”应填列本地区2021年享受贴息资金的民贸民品贷款全年平均规模。其中：全年平均贷款规模＝∑（本地区享受2021年贴息资金的每笔贷款本金金额×该笔贷款2021年度贴息天数/360）。如对单户企业享受贴息实施额度封顶的，其贷款本金和天数仍按该企业申请并审核通过的贷款本金和天数全额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425" w:type="dxa"/>
            <w:gridSpan w:val="16"/>
            <w:shd w:val="clear" w:color="auto" w:fill="auto"/>
            <w:noWrap w:val="0"/>
            <w:vAlign w:val="center"/>
          </w:tcPr>
          <w:p>
            <w:pPr>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3.“三、民贸民品企业贷款贴息”应填列本地区2021年民贸民品企业贷款贴息实际支出。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425" w:type="dxa"/>
            <w:gridSpan w:val="16"/>
            <w:shd w:val="clear" w:color="auto" w:fill="auto"/>
            <w:noWrap w:val="0"/>
            <w:vAlign w:val="center"/>
          </w:tcPr>
          <w:p>
            <w:pPr>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四、中央对地方民贸民品贷款贴息引导支持资金执行情况”应填列本地区中央对地方民贸民品贷款贴息引导支持资金执行情况，其中：预算数按2021年中央下达预算数填列，执行数为截止2021年底省级财政部门已拨付下达数。</w:t>
            </w:r>
          </w:p>
        </w:tc>
      </w:tr>
    </w:tbl>
    <w:p>
      <w:pPr>
        <w:spacing w:line="200" w:lineRule="exact"/>
        <w:jc w:val="center"/>
        <w:rPr>
          <w:rFonts w:hint="eastAsia"/>
          <w:b/>
          <w:bCs/>
          <w:sz w:val="18"/>
          <w:szCs w:val="18"/>
        </w:rPr>
      </w:pPr>
    </w:p>
    <w:p>
      <w:pPr>
        <w:spacing w:line="440" w:lineRule="exact"/>
        <w:ind w:left="9720" w:hanging="9720" w:hangingChars="5400"/>
        <w:jc w:val="center"/>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XX省（市、州、直管市、林区）民族工作部门签章     XX省（市、州、直管市、林区）财政厅（局）签章      XX省（市、州、直管市、林区）人民银行湖北省分行（分支机构）</w:t>
      </w:r>
    </w:p>
    <w:p>
      <w:pPr>
        <w:keepNext w:val="0"/>
        <w:keepLines w:val="0"/>
        <w:pageBreakBefore w:val="0"/>
        <w:widowControl w:val="0"/>
        <w:kinsoku/>
        <w:wordWrap/>
        <w:overflowPunct/>
        <w:topLinePunct w:val="0"/>
        <w:autoSpaceDE/>
        <w:autoSpaceDN/>
        <w:bidi w:val="0"/>
        <w:adjustRightInd/>
        <w:snapToGrid/>
        <w:spacing w:line="440" w:lineRule="exact"/>
        <w:ind w:firstLine="540" w:firstLineChars="300"/>
        <w:jc w:val="left"/>
        <w:textAlignment w:val="auto"/>
        <w:rPr>
          <w:rFonts w:hint="eastAsia" w:ascii="楷体_GB2312" w:hAnsi="楷体_GB2312" w:eastAsia="楷体_GB2312" w:cs="楷体_GB2312"/>
          <w:sz w:val="18"/>
          <w:szCs w:val="18"/>
        </w:rPr>
      </w:pPr>
      <w:r>
        <w:rPr>
          <w:rFonts w:hint="eastAsia" w:ascii="楷体_GB2312" w:hAnsi="楷体_GB2312" w:eastAsia="楷体_GB2312" w:cs="楷体_GB2312"/>
          <w:sz w:val="18"/>
          <w:szCs w:val="18"/>
        </w:rPr>
        <w:t xml:space="preserve">联系人：                                         </w:t>
      </w:r>
      <w:r>
        <w:rPr>
          <w:rFonts w:hint="eastAsia" w:ascii="楷体_GB2312" w:hAnsi="楷体_GB2312" w:eastAsia="楷体_GB2312" w:cs="楷体_GB2312"/>
          <w:sz w:val="18"/>
          <w:szCs w:val="18"/>
          <w:lang w:val="en-US" w:eastAsia="zh-CN"/>
        </w:rPr>
        <w:t xml:space="preserve"> </w:t>
      </w:r>
      <w:r>
        <w:rPr>
          <w:rFonts w:hint="eastAsia" w:ascii="楷体_GB2312" w:hAnsi="楷体_GB2312" w:eastAsia="楷体_GB2312" w:cs="楷体_GB2312"/>
          <w:sz w:val="18"/>
          <w:szCs w:val="18"/>
        </w:rPr>
        <w:t xml:space="preserve">联系人 ：                                         </w:t>
      </w:r>
      <w:r>
        <w:rPr>
          <w:rFonts w:hint="eastAsia" w:ascii="楷体_GB2312" w:hAnsi="楷体_GB2312" w:eastAsia="楷体_GB2312" w:cs="楷体_GB2312"/>
          <w:sz w:val="18"/>
          <w:szCs w:val="18"/>
          <w:lang w:val="en-US" w:eastAsia="zh-CN"/>
        </w:rPr>
        <w:t xml:space="preserve"> </w:t>
      </w:r>
      <w:r>
        <w:rPr>
          <w:rFonts w:hint="eastAsia" w:ascii="楷体_GB2312" w:hAnsi="楷体_GB2312" w:eastAsia="楷体_GB2312" w:cs="楷体_GB2312"/>
          <w:sz w:val="18"/>
          <w:szCs w:val="18"/>
        </w:rPr>
        <w:t>联系人：</w:t>
      </w:r>
    </w:p>
    <w:p>
      <w:pPr>
        <w:keepNext w:val="0"/>
        <w:keepLines w:val="0"/>
        <w:pageBreakBefore w:val="0"/>
        <w:widowControl w:val="0"/>
        <w:kinsoku/>
        <w:wordWrap/>
        <w:overflowPunct/>
        <w:topLinePunct w:val="0"/>
        <w:autoSpaceDE/>
        <w:autoSpaceDN/>
        <w:bidi w:val="0"/>
        <w:adjustRightInd/>
        <w:snapToGrid/>
        <w:ind w:firstLine="540" w:firstLineChars="300"/>
        <w:jc w:val="left"/>
        <w:textAlignment w:val="auto"/>
      </w:pPr>
      <w:r>
        <w:rPr>
          <w:rFonts w:hint="eastAsia" w:ascii="楷体_GB2312" w:hAnsi="楷体_GB2312" w:eastAsia="楷体_GB2312" w:cs="楷体_GB2312"/>
          <w:sz w:val="18"/>
          <w:szCs w:val="18"/>
        </w:rPr>
        <w:t xml:space="preserve">联系电话：                                       </w:t>
      </w:r>
      <w:r>
        <w:rPr>
          <w:rFonts w:hint="eastAsia" w:ascii="楷体_GB2312" w:hAnsi="楷体_GB2312" w:eastAsia="楷体_GB2312" w:cs="楷体_GB2312"/>
          <w:sz w:val="18"/>
          <w:szCs w:val="18"/>
          <w:lang w:val="en-US" w:eastAsia="zh-CN"/>
        </w:rPr>
        <w:t xml:space="preserve"> </w:t>
      </w:r>
      <w:r>
        <w:rPr>
          <w:rFonts w:hint="eastAsia" w:ascii="楷体_GB2312" w:hAnsi="楷体_GB2312" w:eastAsia="楷体_GB2312" w:cs="楷体_GB2312"/>
          <w:sz w:val="18"/>
          <w:szCs w:val="18"/>
        </w:rPr>
        <w:t xml:space="preserve">联系电话：                                        </w:t>
      </w:r>
      <w:r>
        <w:rPr>
          <w:rFonts w:hint="eastAsia" w:ascii="楷体_GB2312" w:hAnsi="楷体_GB2312" w:eastAsia="楷体_GB2312" w:cs="楷体_GB2312"/>
          <w:sz w:val="18"/>
          <w:szCs w:val="18"/>
          <w:lang w:val="en-US" w:eastAsia="zh-CN"/>
        </w:rPr>
        <w:t xml:space="preserve"> </w:t>
      </w:r>
      <w:r>
        <w:rPr>
          <w:rFonts w:hint="eastAsia" w:ascii="楷体_GB2312" w:hAnsi="楷体_GB2312" w:eastAsia="楷体_GB2312" w:cs="楷体_GB2312"/>
          <w:sz w:val="18"/>
          <w:szCs w:val="18"/>
        </w:rPr>
        <w:t>联系电话：</w:t>
      </w:r>
    </w:p>
    <w:sectPr>
      <w:pgSz w:w="18369" w:h="129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MTMwYmEzM2YzNGEwN2Q5NmEyMDNiYjJkZDk0MWUifQ=="/>
  </w:docVars>
  <w:rsids>
    <w:rsidRoot w:val="0DE577A1"/>
    <w:rsid w:val="0DE577A1"/>
    <w:rsid w:val="1E3D26AA"/>
    <w:rsid w:val="213E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2023-10-24T08:34:00Z</dcterms:created>
  <dc:creator>晚安</dc:creator>
  <cp:lastModifiedBy>晚安</cp:lastModifiedBy>
  <dcterms:modified xsi:type="dcterms:W3CDTF">2023-10-24T08:36:50Z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86E3454A791F43F2AAB8820E0AFD48E5_11</vt:lpwstr>
  </property>
</Properties>
</file>